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06F" w:rsidRPr="005F7F4B" w:rsidRDefault="0091606F" w:rsidP="00953E24">
      <w:pPr>
        <w:pStyle w:val="Textkrper"/>
        <w:spacing w:after="120"/>
        <w:jc w:val="both"/>
        <w:rPr>
          <w:bCs/>
          <w:color w:val="000000"/>
          <w:sz w:val="24"/>
          <w:szCs w:val="24"/>
        </w:rPr>
      </w:pPr>
      <w:bookmarkStart w:id="0" w:name="OLE_LINK5"/>
      <w:bookmarkStart w:id="1" w:name="OLE_LINK6"/>
      <w:r>
        <w:rPr>
          <w:b/>
          <w:color w:val="000000"/>
          <w:sz w:val="24"/>
        </w:rPr>
        <w:t>MPH2</w:t>
      </w:r>
      <w:r>
        <w:rPr>
          <w:sz w:val="24"/>
          <w:vertAlign w:val="superscript"/>
        </w:rPr>
        <w:t xml:space="preserve"> ™ </w:t>
      </w:r>
      <w:r>
        <w:rPr>
          <w:sz w:val="24"/>
        </w:rPr>
        <w:t>Rack PDU</w:t>
      </w:r>
    </w:p>
    <w:p w:rsidR="0091606F" w:rsidRPr="005F7F4B" w:rsidRDefault="00A2263D" w:rsidP="00E64AE7">
      <w:pPr>
        <w:pStyle w:val="Textkrper"/>
        <w:spacing w:after="120"/>
        <w:jc w:val="both"/>
        <w:rPr>
          <w:color w:val="000000"/>
          <w:sz w:val="20"/>
          <w:szCs w:val="20"/>
        </w:rPr>
      </w:pPr>
      <w:r>
        <w:rPr>
          <w:color w:val="000000"/>
          <w:sz w:val="20"/>
        </w:rPr>
        <w:t>Data sheet</w:t>
      </w:r>
    </w:p>
    <w:p w:rsidR="0091606F" w:rsidRPr="005F7F4B" w:rsidRDefault="0091606F" w:rsidP="00A2263D">
      <w:pPr>
        <w:pStyle w:val="berschrift1"/>
        <w:rPr>
          <w:rFonts w:ascii="Times New Roman" w:hAnsi="Times New Roman" w:cs="Times New Roman"/>
          <w:sz w:val="20"/>
          <w:szCs w:val="20"/>
        </w:rPr>
      </w:pPr>
    </w:p>
    <w:p w:rsidR="0091606F" w:rsidRPr="00F82341" w:rsidRDefault="0091606F" w:rsidP="00870AB3">
      <w:pPr>
        <w:pStyle w:val="berschrift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</w:rPr>
        <w:t>1.</w:t>
      </w:r>
      <w:r>
        <w:tab/>
      </w:r>
      <w:r>
        <w:rPr>
          <w:rFonts w:ascii="Times New Roman" w:hAnsi="Times New Roman"/>
          <w:sz w:val="20"/>
        </w:rPr>
        <w:t>General</w:t>
      </w:r>
    </w:p>
    <w:p w:rsidR="0091606F" w:rsidRPr="00F82341" w:rsidRDefault="00A2263D" w:rsidP="00870AB3">
      <w:pPr>
        <w:pStyle w:val="Textkrper"/>
        <w:spacing w:after="120"/>
        <w:ind w:left="720"/>
        <w:jc w:val="both"/>
        <w:rPr>
          <w:sz w:val="20"/>
          <w:szCs w:val="20"/>
        </w:rPr>
      </w:pPr>
      <w:r>
        <w:rPr>
          <w:noProof/>
          <w:lang w:val="de-DE" w:eastAsia="de-DE" w:bidi="ar-SA"/>
        </w:rPr>
        <w:drawing>
          <wp:anchor distT="0" distB="0" distL="114300" distR="114300" simplePos="0" relativeHeight="251658240" behindDoc="0" locked="0" layoutInCell="0" allowOverlap="1" wp14:anchorId="5E55E635" wp14:editId="206D598B">
            <wp:simplePos x="0" y="0"/>
            <wp:positionH relativeFrom="column">
              <wp:posOffset>-333375</wp:posOffset>
            </wp:positionH>
            <wp:positionV relativeFrom="paragraph">
              <wp:posOffset>-1734185</wp:posOffset>
            </wp:positionV>
            <wp:extent cx="1181100" cy="657225"/>
            <wp:effectExtent l="0" t="0" r="0" b="0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0"/>
        </w:rPr>
        <w:t>The MPH2</w:t>
      </w:r>
      <w:r>
        <w:rPr>
          <w:sz w:val="20"/>
          <w:vertAlign w:val="superscript"/>
        </w:rPr>
        <w:t>TM</w:t>
      </w:r>
      <w:r>
        <w:rPr>
          <w:sz w:val="20"/>
        </w:rPr>
        <w:t xml:space="preserve"> is a power distribution unit for IT racks which allows you to measure electrical values. Depending on the model, individual outputs can also be remote-controlled. Various IT devices and other sensitive electronic loads can be connected to the MPH2</w:t>
      </w:r>
      <w:r>
        <w:rPr>
          <w:sz w:val="20"/>
          <w:vertAlign w:val="superscript"/>
        </w:rPr>
        <w:t>TM</w:t>
      </w:r>
      <w:r>
        <w:rPr>
          <w:sz w:val="20"/>
        </w:rPr>
        <w:t>.</w:t>
      </w:r>
    </w:p>
    <w:p w:rsidR="007248CD" w:rsidRPr="00F82341" w:rsidRDefault="007248CD" w:rsidP="00E64AE7">
      <w:pPr>
        <w:ind w:left="720" w:firstLine="720"/>
        <w:jc w:val="both"/>
        <w:rPr>
          <w:highlight w:val="yellow"/>
        </w:rPr>
      </w:pPr>
    </w:p>
    <w:p w:rsidR="0091606F" w:rsidRPr="00F82341" w:rsidRDefault="00A2263D" w:rsidP="00B0140A">
      <w:pPr>
        <w:pStyle w:val="berschrift2"/>
        <w:jc w:val="both"/>
        <w:rPr>
          <w:rFonts w:ascii="Times New Roman" w:hAnsi="Times New Roman" w:cs="Times New Roman"/>
          <w:b w:val="0"/>
          <w:sz w:val="20"/>
          <w:szCs w:val="20"/>
        </w:rPr>
      </w:pPr>
      <w:r>
        <w:rPr>
          <w:rFonts w:ascii="Times New Roman" w:hAnsi="Times New Roman"/>
          <w:sz w:val="20"/>
        </w:rPr>
        <w:t>2.</w:t>
      </w:r>
      <w:r>
        <w:tab/>
      </w:r>
      <w:r>
        <w:rPr>
          <w:rFonts w:ascii="Times New Roman" w:hAnsi="Times New Roman"/>
          <w:sz w:val="20"/>
        </w:rPr>
        <w:t>System description</w:t>
      </w:r>
    </w:p>
    <w:p w:rsidR="002768DF" w:rsidRPr="00F82341" w:rsidRDefault="002768DF" w:rsidP="00B0140A">
      <w:pPr>
        <w:pStyle w:val="Fuzeile"/>
        <w:spacing w:after="120"/>
        <w:ind w:left="720"/>
      </w:pPr>
      <w:r>
        <w:t>The MPH2</w:t>
      </w:r>
      <w:r>
        <w:rPr>
          <w:vertAlign w:val="superscript"/>
        </w:rPr>
        <w:t xml:space="preserve">TM  </w:t>
      </w:r>
      <w:r>
        <w:t>belongs to the "Managed Rack PDU" group which is part of Emerson Network Power's range of rack PDUs. It is designed to remote-monitor and control the IT devices in the server rack. The MPH2</w:t>
      </w:r>
      <w:r>
        <w:rPr>
          <w:vertAlign w:val="superscript"/>
        </w:rPr>
        <w:t>TM</w:t>
      </w:r>
      <w:r>
        <w:t xml:space="preserve"> can easily be integrated into a rack and management</w:t>
      </w:r>
      <w:r w:rsidR="00AC6FD0">
        <w:t xml:space="preserve"> architecture and offers high</w:t>
      </w:r>
      <w:r>
        <w:t xml:space="preserve"> availability and </w:t>
      </w:r>
      <w:r w:rsidR="00AC6FD0">
        <w:t xml:space="preserve">optimized </w:t>
      </w:r>
      <w:r>
        <w:t>energy</w:t>
      </w:r>
      <w:r w:rsidR="00AC6FD0">
        <w:t xml:space="preserve"> and capacity management</w:t>
      </w:r>
      <w:r>
        <w:t>. The housing consists of a compact aluminum profile and can be integrated into Knürr racks from Emerson Network Power of other housing systems in a space-saving manner.</w:t>
      </w:r>
    </w:p>
    <w:p w:rsidR="00B93F8F" w:rsidRPr="00F82341" w:rsidRDefault="004F4F71" w:rsidP="00C93A82">
      <w:pPr>
        <w:pStyle w:val="Fuzeile"/>
        <w:spacing w:after="120"/>
        <w:ind w:left="720"/>
      </w:pPr>
      <w:r>
        <w:t>Depending on the model, phases, groups or individual outputs can be measured. The individual outputs can also be remote-controlled. Adjustable threshold values with an alarm function increase the availability of the connected loads.  The integrated RPC2k communications card allows you to connect together up to 4 MPH2</w:t>
      </w:r>
      <w:r>
        <w:rPr>
          <w:vertAlign w:val="superscript"/>
        </w:rPr>
        <w:t xml:space="preserve">TM </w:t>
      </w:r>
      <w:r>
        <w:t>/ MPX</w:t>
      </w:r>
      <w:r>
        <w:rPr>
          <w:vertAlign w:val="superscript"/>
        </w:rPr>
        <w:t xml:space="preserve">TM </w:t>
      </w:r>
      <w:r>
        <w:t>units and to remote-monitor and maintain all connected units. This card can be replaced during operation. The MPH2</w:t>
      </w:r>
      <w:r>
        <w:rPr>
          <w:vertAlign w:val="superscript"/>
        </w:rPr>
        <w:t xml:space="preserve">TM </w:t>
      </w:r>
      <w:r>
        <w:t xml:space="preserve">unit has an integrated display. In addition, the optional external RPCBDM-1000 display module can be connected and flexibly attached to the rack. Up to 10 sensors (temperature, air humidity, door contacts as well as potential-free input contacts) can be connected to the communications card. In the case of models with an input current &gt; </w:t>
      </w:r>
      <w:r w:rsidR="004909EA">
        <w:t>20</w:t>
      </w:r>
      <w:r>
        <w:t xml:space="preserve"> A, individual groups are protected with a 20 </w:t>
      </w:r>
      <w:proofErr w:type="gramStart"/>
      <w:r>
        <w:t>A</w:t>
      </w:r>
      <w:proofErr w:type="gramEnd"/>
      <w:r>
        <w:t xml:space="preserve"> circuit breaker (hydraulic, magnetic). Cables with locking mechanisms can be connected to the outputs. </w:t>
      </w:r>
    </w:p>
    <w:p w:rsidR="005F7F4B" w:rsidRPr="00F82341" w:rsidRDefault="005F7F4B" w:rsidP="00C93A82">
      <w:pPr>
        <w:pStyle w:val="Fuzeile"/>
        <w:spacing w:after="120"/>
        <w:ind w:left="720"/>
      </w:pPr>
      <w:r>
        <w:t xml:space="preserve">Depending on the model, the connecting cable for the </w:t>
      </w:r>
      <w:proofErr w:type="gramStart"/>
      <w:r>
        <w:t>MPH2</w:t>
      </w:r>
      <w:r>
        <w:rPr>
          <w:vertAlign w:val="superscript"/>
        </w:rPr>
        <w:t xml:space="preserve">TM </w:t>
      </w:r>
      <w:r w:rsidR="009D47D3">
        <w:rPr>
          <w:vertAlign w:val="superscript"/>
        </w:rPr>
        <w:t xml:space="preserve"> </w:t>
      </w:r>
      <w:r w:rsidR="009D47D3">
        <w:t>is</w:t>
      </w:r>
      <w:proofErr w:type="gramEnd"/>
      <w:r w:rsidR="009D47D3">
        <w:t xml:space="preserve"> fixed </w:t>
      </w:r>
      <w:r>
        <w:t>attached to the housing (cable length 3 m) or a</w:t>
      </w:r>
      <w:r w:rsidR="009D47D3">
        <w:t xml:space="preserve">n external </w:t>
      </w:r>
      <w:r>
        <w:t>connecting cable can be connected directly. The PDU can be integrated into ENP Knürr racks or other housing systems with corresponding slots without the use of tools.</w:t>
      </w:r>
      <w:bookmarkStart w:id="2" w:name="_GoBack"/>
      <w:bookmarkEnd w:id="2"/>
    </w:p>
    <w:p w:rsidR="00B93F8F" w:rsidRPr="00F82341" w:rsidRDefault="00B93F8F" w:rsidP="009A7DCE">
      <w:pPr>
        <w:pStyle w:val="Fuzeile"/>
        <w:spacing w:after="120"/>
        <w:ind w:left="720"/>
      </w:pPr>
      <w:r>
        <w:t>Remote management: Onboard web interface, CLI, SNMPv1,2,3, SSH, Telnet, integratable into Avocent ACS, UMG &amp; MPU, DSView, Rack Power Manager, Nform &amp; Trellis as well as Nagios or other management software programs.</w:t>
      </w:r>
      <w:r>
        <w:br/>
        <w:t xml:space="preserve">Authentication: Local, remote: Active directory, LDAP, TACACS, Radius, </w:t>
      </w:r>
      <w:proofErr w:type="gramStart"/>
      <w:r>
        <w:t>Kerberos</w:t>
      </w:r>
      <w:proofErr w:type="gramEnd"/>
      <w:r>
        <w:t xml:space="preserve">. </w:t>
      </w:r>
      <w:r w:rsidR="009A7DCE">
        <w:br/>
      </w:r>
      <w:r>
        <w:t>Encryption: MD5, AES, DES</w:t>
      </w:r>
    </w:p>
    <w:p w:rsidR="00B93F8F" w:rsidRPr="00F82341" w:rsidRDefault="00B93F8F" w:rsidP="00B93F8F">
      <w:pPr>
        <w:pStyle w:val="Fuzeile"/>
        <w:spacing w:after="120"/>
        <w:ind w:left="720"/>
      </w:pPr>
      <w:r>
        <w:t>Measurement parameters: Current (A), voltage (V), real power (W), apparent power (VA), consumption (kWh), power factor, frequency and crest factor</w:t>
      </w:r>
      <w:r>
        <w:br/>
        <w:t>Accuracy: +-1% (V, A)</w:t>
      </w:r>
      <w:r>
        <w:br/>
        <w:t>Power loss: 3W - 5W</w:t>
      </w:r>
    </w:p>
    <w:p w:rsidR="005F7F4B" w:rsidRPr="00F82341" w:rsidRDefault="005F7F4B" w:rsidP="005F7F4B">
      <w:pPr>
        <w:pStyle w:val="Fuzeile"/>
        <w:spacing w:after="120"/>
        <w:ind w:left="720"/>
      </w:pPr>
      <w:r>
        <w:t>Material / surface / color:</w:t>
      </w:r>
      <w:r>
        <w:br/>
        <w:t>Closed housing, aluminum profile, finely textured powder-coated top (RAL 7021), Vampamid 6 0024 V0 (UL94) recyclable plastic parts, finely textured and colored (RAL 9005)</w:t>
      </w:r>
    </w:p>
    <w:bookmarkEnd w:id="0"/>
    <w:bookmarkEnd w:id="1"/>
    <w:p w:rsidR="00F82341" w:rsidRPr="00F82341" w:rsidRDefault="00F82341" w:rsidP="00B0140A">
      <w:pPr>
        <w:pStyle w:val="berschrift1"/>
        <w:spacing w:before="0" w:after="120"/>
        <w:jc w:val="left"/>
        <w:rPr>
          <w:rFonts w:ascii="Times New Roman" w:hAnsi="Times New Roman" w:cs="Times New Roman"/>
          <w:sz w:val="20"/>
          <w:szCs w:val="20"/>
        </w:rPr>
      </w:pPr>
    </w:p>
    <w:p w:rsidR="0091606F" w:rsidRPr="00F82341" w:rsidRDefault="00A2263D" w:rsidP="00B0140A">
      <w:pPr>
        <w:pStyle w:val="berschrift1"/>
        <w:spacing w:before="0" w:after="12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</w:rPr>
        <w:t>3.</w:t>
      </w:r>
      <w:r>
        <w:tab/>
      </w:r>
      <w:r>
        <w:rPr>
          <w:rFonts w:ascii="Times New Roman" w:hAnsi="Times New Roman"/>
          <w:sz w:val="20"/>
        </w:rPr>
        <w:t>MPH2</w:t>
      </w:r>
      <w:r>
        <w:rPr>
          <w:rFonts w:ascii="Times New Roman" w:hAnsi="Times New Roman"/>
          <w:sz w:val="20"/>
          <w:vertAlign w:val="superscript"/>
        </w:rPr>
        <w:t>TM</w:t>
      </w:r>
      <w:r>
        <w:rPr>
          <w:rFonts w:ascii="Times New Roman" w:hAnsi="Times New Roman"/>
          <w:sz w:val="20"/>
        </w:rPr>
        <w:t xml:space="preserve"> models </w:t>
      </w:r>
    </w:p>
    <w:p w:rsidR="0091606F" w:rsidRPr="00F82341" w:rsidRDefault="0091606F" w:rsidP="00AE30F3">
      <w:pPr>
        <w:pStyle w:val="Standardeinzug"/>
        <w:tabs>
          <w:tab w:val="left" w:pos="1440"/>
        </w:tabs>
        <w:ind w:left="0" w:firstLine="7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MPH2</w:t>
      </w:r>
      <w:r>
        <w:rPr>
          <w:rFonts w:ascii="Times New Roman" w:hAnsi="Times New Roman"/>
          <w:b/>
          <w:vertAlign w:val="superscript"/>
        </w:rPr>
        <w:t>TM</w:t>
      </w:r>
      <w:r>
        <w:rPr>
          <w:rFonts w:ascii="Times New Roman" w:hAnsi="Times New Roman"/>
          <w:b/>
        </w:rPr>
        <w:t xml:space="preserve"> B  –  input measurement </w:t>
      </w:r>
    </w:p>
    <w:p w:rsidR="0091606F" w:rsidRPr="00F82341" w:rsidRDefault="000A157C" w:rsidP="00251471">
      <w:pPr>
        <w:pStyle w:val="Standardeinzug"/>
        <w:spacing w:before="0" w:after="120"/>
        <w:ind w:left="720"/>
        <w:rPr>
          <w:rFonts w:ascii="Times New Roman" w:hAnsi="Times New Roman"/>
          <w:bCs/>
        </w:rPr>
      </w:pPr>
      <w:r>
        <w:rPr>
          <w:rFonts w:ascii="Times New Roman" w:hAnsi="Times New Roman"/>
        </w:rPr>
        <w:t>The MPH2</w:t>
      </w:r>
      <w:r>
        <w:rPr>
          <w:rFonts w:ascii="Times New Roman" w:hAnsi="Times New Roman"/>
          <w:vertAlign w:val="superscript"/>
        </w:rPr>
        <w:t>TM</w:t>
      </w:r>
      <w:r>
        <w:rPr>
          <w:rFonts w:ascii="Times New Roman" w:hAnsi="Times New Roman"/>
        </w:rPr>
        <w:t xml:space="preserve"> B series measures the electrical parameters per phase as well as per group (only models with an input current &gt; 16 A). </w:t>
      </w:r>
    </w:p>
    <w:p w:rsidR="00537F63" w:rsidRPr="00F82341" w:rsidRDefault="00537F63" w:rsidP="00537F63">
      <w:pPr>
        <w:pStyle w:val="Standardeinzug"/>
        <w:spacing w:after="120"/>
        <w:ind w:left="720"/>
        <w:rPr>
          <w:rFonts w:ascii="Times New Roman" w:hAnsi="Times New Roman"/>
          <w:bCs/>
        </w:rPr>
      </w:pPr>
      <w:r>
        <w:rPr>
          <w:rFonts w:ascii="Times New Roman" w:hAnsi="Times New Roman"/>
          <w:b/>
        </w:rPr>
        <w:t>MPH2</w:t>
      </w:r>
      <w:r>
        <w:rPr>
          <w:rFonts w:ascii="Times New Roman" w:hAnsi="Times New Roman"/>
          <w:b/>
          <w:vertAlign w:val="superscript"/>
        </w:rPr>
        <w:t>TM</w:t>
      </w:r>
      <w:r>
        <w:rPr>
          <w:rFonts w:ascii="Times New Roman" w:hAnsi="Times New Roman"/>
          <w:b/>
        </w:rPr>
        <w:t xml:space="preserve"> C  –  input measurement, output switching</w:t>
      </w:r>
      <w:r>
        <w:rPr>
          <w:rFonts w:ascii="Times New Roman" w:hAnsi="Times New Roman"/>
          <w:b/>
          <w:bCs/>
        </w:rPr>
        <w:br/>
      </w:r>
      <w:r>
        <w:rPr>
          <w:rFonts w:ascii="Times New Roman" w:hAnsi="Times New Roman"/>
        </w:rPr>
        <w:t>The MPH2</w:t>
      </w:r>
      <w:r>
        <w:rPr>
          <w:rFonts w:ascii="Times New Roman" w:hAnsi="Times New Roman"/>
          <w:vertAlign w:val="superscript"/>
        </w:rPr>
        <w:t>TM</w:t>
      </w:r>
      <w:r>
        <w:rPr>
          <w:rFonts w:ascii="Times New Roman" w:hAnsi="Times New Roman"/>
        </w:rPr>
        <w:t xml:space="preserve"> C series measures the electrical parameters per phase as well as per group (only models with an input current &gt; 16 A). The outputs can also be individually remote-switched.</w:t>
      </w:r>
    </w:p>
    <w:p w:rsidR="00537F63" w:rsidRPr="00F82341" w:rsidRDefault="00537F63" w:rsidP="00537F63">
      <w:pPr>
        <w:pStyle w:val="Standardeinzug"/>
        <w:spacing w:after="120"/>
        <w:ind w:left="720"/>
        <w:rPr>
          <w:rFonts w:ascii="Times New Roman" w:hAnsi="Times New Roman"/>
          <w:bCs/>
        </w:rPr>
      </w:pPr>
      <w:r>
        <w:rPr>
          <w:rFonts w:ascii="Times New Roman" w:hAnsi="Times New Roman"/>
          <w:b/>
        </w:rPr>
        <w:lastRenderedPageBreak/>
        <w:t>MPH2</w:t>
      </w:r>
      <w:r>
        <w:rPr>
          <w:rFonts w:ascii="Times New Roman" w:hAnsi="Times New Roman"/>
          <w:b/>
          <w:vertAlign w:val="superscript"/>
        </w:rPr>
        <w:t>TM</w:t>
      </w:r>
      <w:r>
        <w:rPr>
          <w:rFonts w:ascii="Times New Roman" w:hAnsi="Times New Roman"/>
          <w:b/>
        </w:rPr>
        <w:t xml:space="preserve"> </w:t>
      </w:r>
      <w:proofErr w:type="gramStart"/>
      <w:r>
        <w:rPr>
          <w:rFonts w:ascii="Times New Roman" w:hAnsi="Times New Roman"/>
          <w:b/>
        </w:rPr>
        <w:t>M  –</w:t>
      </w:r>
      <w:proofErr w:type="gramEnd"/>
      <w:r>
        <w:rPr>
          <w:rFonts w:ascii="Times New Roman" w:hAnsi="Times New Roman"/>
          <w:b/>
        </w:rPr>
        <w:t xml:space="preserve">  input measurement, output measurement</w:t>
      </w:r>
      <w:r>
        <w:rPr>
          <w:rFonts w:ascii="Times New Roman" w:hAnsi="Times New Roman"/>
          <w:b/>
          <w:bCs/>
        </w:rPr>
        <w:br/>
      </w:r>
      <w:r>
        <w:rPr>
          <w:rFonts w:ascii="Times New Roman" w:hAnsi="Times New Roman"/>
        </w:rPr>
        <w:t>The MPH2</w:t>
      </w:r>
      <w:r>
        <w:rPr>
          <w:rFonts w:ascii="Times New Roman" w:hAnsi="Times New Roman"/>
          <w:vertAlign w:val="superscript"/>
        </w:rPr>
        <w:t>TM</w:t>
      </w:r>
      <w:r>
        <w:rPr>
          <w:rFonts w:ascii="Times New Roman" w:hAnsi="Times New Roman"/>
        </w:rPr>
        <w:t xml:space="preserve"> M series measures the electrical parameters per phase, per group (only models with an input</w:t>
      </w:r>
      <w:r w:rsidR="009A7DCE">
        <w:rPr>
          <w:rFonts w:ascii="Times New Roman" w:hAnsi="Times New Roman"/>
        </w:rPr>
        <w:t xml:space="preserve"> current &gt; 16 A) and per outlet.</w:t>
      </w:r>
      <w:r>
        <w:rPr>
          <w:rFonts w:ascii="Times New Roman" w:hAnsi="Times New Roman"/>
        </w:rPr>
        <w:t xml:space="preserve"> </w:t>
      </w:r>
    </w:p>
    <w:p w:rsidR="00537F63" w:rsidRPr="00F82341" w:rsidRDefault="00537F63" w:rsidP="00537F63">
      <w:pPr>
        <w:pStyle w:val="Standardeinzug"/>
        <w:spacing w:after="120"/>
        <w:ind w:left="720"/>
        <w:rPr>
          <w:rFonts w:ascii="Times New Roman" w:hAnsi="Times New Roman"/>
          <w:bCs/>
        </w:rPr>
      </w:pPr>
      <w:r>
        <w:rPr>
          <w:rFonts w:ascii="Times New Roman" w:hAnsi="Times New Roman"/>
          <w:b/>
        </w:rPr>
        <w:t>MPH2</w:t>
      </w:r>
      <w:r>
        <w:rPr>
          <w:rFonts w:ascii="Times New Roman" w:hAnsi="Times New Roman"/>
          <w:b/>
          <w:vertAlign w:val="superscript"/>
        </w:rPr>
        <w:t>TM</w:t>
      </w:r>
      <w:r>
        <w:rPr>
          <w:rFonts w:ascii="Times New Roman" w:hAnsi="Times New Roman"/>
          <w:b/>
        </w:rPr>
        <w:t xml:space="preserve"> R  –  input measurement, output measurement, output switching</w:t>
      </w:r>
      <w:r>
        <w:rPr>
          <w:rFonts w:ascii="Times New Roman" w:hAnsi="Times New Roman"/>
          <w:b/>
          <w:bCs/>
        </w:rPr>
        <w:br/>
      </w:r>
      <w:r>
        <w:rPr>
          <w:rFonts w:ascii="Times New Roman" w:hAnsi="Times New Roman"/>
        </w:rPr>
        <w:t>The MPH2</w:t>
      </w:r>
      <w:r>
        <w:rPr>
          <w:rFonts w:ascii="Times New Roman" w:hAnsi="Times New Roman"/>
          <w:vertAlign w:val="superscript"/>
        </w:rPr>
        <w:t>TM</w:t>
      </w:r>
      <w:r>
        <w:rPr>
          <w:rFonts w:ascii="Times New Roman" w:hAnsi="Times New Roman"/>
        </w:rPr>
        <w:t xml:space="preserve"> R series measures the electrical parameters per phase, per group (only models with an input current &gt; 16 A) and per output. The outputs can also be individually remote-switched. </w:t>
      </w:r>
    </w:p>
    <w:p w:rsidR="00537F63" w:rsidRPr="00F82341" w:rsidRDefault="00537F63" w:rsidP="00537F63">
      <w:pPr>
        <w:pStyle w:val="Standardeinzug"/>
        <w:spacing w:after="120"/>
        <w:ind w:left="720"/>
        <w:rPr>
          <w:rFonts w:ascii="Times New Roman" w:hAnsi="Times New Roman"/>
          <w:bCs/>
        </w:rPr>
      </w:pPr>
    </w:p>
    <w:p w:rsidR="0091606F" w:rsidRPr="00F82341" w:rsidRDefault="00A2263D" w:rsidP="00BE1001">
      <w:pPr>
        <w:autoSpaceDE w:val="0"/>
        <w:autoSpaceDN w:val="0"/>
        <w:adjustRightInd w:val="0"/>
        <w:rPr>
          <w:b/>
          <w:bCs/>
        </w:rPr>
      </w:pPr>
      <w:r>
        <w:rPr>
          <w:b/>
        </w:rPr>
        <w:t>4.</w:t>
      </w:r>
      <w:r>
        <w:tab/>
      </w:r>
      <w:r>
        <w:rPr>
          <w:b/>
        </w:rPr>
        <w:t>ENVIRONMENTAL CONDITIONS</w:t>
      </w:r>
    </w:p>
    <w:p w:rsidR="00F82341" w:rsidRPr="00F82341" w:rsidRDefault="00F82341" w:rsidP="00D34DF8">
      <w:pPr>
        <w:pStyle w:val="Textkrper"/>
        <w:tabs>
          <w:tab w:val="left" w:pos="1440"/>
        </w:tabs>
        <w:spacing w:after="120"/>
        <w:ind w:left="1440" w:hanging="270"/>
        <w:jc w:val="both"/>
        <w:rPr>
          <w:b/>
          <w:bCs/>
          <w:sz w:val="20"/>
          <w:szCs w:val="20"/>
        </w:rPr>
      </w:pPr>
    </w:p>
    <w:p w:rsidR="0091606F" w:rsidRPr="00F82341" w:rsidRDefault="00F266BA" w:rsidP="00D34DF8">
      <w:pPr>
        <w:pStyle w:val="Textkrper"/>
        <w:tabs>
          <w:tab w:val="left" w:pos="1440"/>
        </w:tabs>
        <w:spacing w:after="120"/>
        <w:ind w:left="1440" w:hanging="270"/>
        <w:jc w:val="both"/>
        <w:rPr>
          <w:b/>
          <w:bCs/>
          <w:sz w:val="20"/>
          <w:szCs w:val="20"/>
        </w:rPr>
      </w:pPr>
      <w:r>
        <w:rPr>
          <w:b/>
          <w:sz w:val="20"/>
        </w:rPr>
        <w:t>Ambient temperature</w:t>
      </w:r>
    </w:p>
    <w:p w:rsidR="0091606F" w:rsidRPr="00F82341" w:rsidRDefault="00F266BA" w:rsidP="00D34DF8">
      <w:pPr>
        <w:pStyle w:val="Textkrper-Einzug2"/>
        <w:spacing w:line="240" w:lineRule="auto"/>
        <w:ind w:left="2376" w:hanging="1206"/>
        <w:jc w:val="both"/>
        <w:rPr>
          <w:color w:val="000000"/>
        </w:rPr>
      </w:pPr>
      <w:r>
        <w:rPr>
          <w:i/>
          <w:color w:val="000000"/>
        </w:rPr>
        <w:t>During operation: 5</w:t>
      </w:r>
      <w:r>
        <w:rPr>
          <w:color w:val="000000"/>
        </w:rPr>
        <w:t xml:space="preserve">°C ─ 60°C  </w:t>
      </w:r>
    </w:p>
    <w:p w:rsidR="0091606F" w:rsidRPr="00F82341" w:rsidRDefault="00432769" w:rsidP="00D34DF8">
      <w:pPr>
        <w:spacing w:after="120"/>
        <w:ind w:left="1440" w:hanging="270"/>
        <w:jc w:val="both"/>
        <w:rPr>
          <w:color w:val="000000"/>
        </w:rPr>
      </w:pPr>
      <w:r>
        <w:rPr>
          <w:i/>
          <w:color w:val="000000"/>
        </w:rPr>
        <w:t>Storage temperature:</w:t>
      </w:r>
      <w:r w:rsidR="00AD6FC0">
        <w:rPr>
          <w:i/>
          <w:color w:val="000000"/>
        </w:rPr>
        <w:t xml:space="preserve"> -20°C – 85°C</w:t>
      </w:r>
      <w:r>
        <w:rPr>
          <w:b/>
          <w:color w:val="000000"/>
        </w:rPr>
        <w:t xml:space="preserve"> </w:t>
      </w:r>
    </w:p>
    <w:p w:rsidR="0091606F" w:rsidRPr="00F82341" w:rsidRDefault="0091606F" w:rsidP="00D34DF8">
      <w:pPr>
        <w:spacing w:after="120"/>
        <w:ind w:left="1440" w:hanging="270"/>
        <w:jc w:val="both"/>
        <w:rPr>
          <w:b/>
          <w:color w:val="000000"/>
        </w:rPr>
      </w:pPr>
      <w:r>
        <w:rPr>
          <w:b/>
          <w:color w:val="000000"/>
        </w:rPr>
        <w:t>Relative humidity</w:t>
      </w:r>
    </w:p>
    <w:p w:rsidR="0091606F" w:rsidRPr="00F82341" w:rsidRDefault="00432769" w:rsidP="00435EC8">
      <w:pPr>
        <w:pStyle w:val="Textkrper"/>
        <w:spacing w:after="120"/>
        <w:ind w:left="720" w:firstLine="446"/>
        <w:jc w:val="both"/>
        <w:rPr>
          <w:color w:val="000000"/>
          <w:sz w:val="20"/>
          <w:szCs w:val="20"/>
        </w:rPr>
      </w:pPr>
      <w:r>
        <w:rPr>
          <w:color w:val="000000"/>
          <w:sz w:val="20"/>
        </w:rPr>
        <w:t>10 - 90% non-condensing</w:t>
      </w:r>
    </w:p>
    <w:p w:rsidR="0091606F" w:rsidRPr="00F82341" w:rsidRDefault="000E516F" w:rsidP="00D34DF8">
      <w:pPr>
        <w:pStyle w:val="Textkrper"/>
        <w:spacing w:after="120"/>
        <w:ind w:left="1440" w:hanging="270"/>
        <w:jc w:val="both"/>
        <w:rPr>
          <w:color w:val="000000"/>
          <w:sz w:val="20"/>
          <w:szCs w:val="20"/>
        </w:rPr>
      </w:pPr>
      <w:r>
        <w:rPr>
          <w:b/>
          <w:color w:val="000000"/>
          <w:sz w:val="20"/>
        </w:rPr>
        <w:t>Operating altitude:</w:t>
      </w:r>
    </w:p>
    <w:p w:rsidR="0091606F" w:rsidRPr="00F82341" w:rsidRDefault="000E516F" w:rsidP="00D34DF8">
      <w:pPr>
        <w:pStyle w:val="Textkrper"/>
        <w:tabs>
          <w:tab w:val="left" w:pos="1170"/>
        </w:tabs>
        <w:ind w:left="1170"/>
        <w:jc w:val="both"/>
        <w:rPr>
          <w:color w:val="000000"/>
          <w:sz w:val="20"/>
          <w:szCs w:val="20"/>
        </w:rPr>
      </w:pPr>
      <w:r>
        <w:rPr>
          <w:color w:val="000000"/>
          <w:sz w:val="20"/>
        </w:rPr>
        <w:t>Max. 2000 m.</w:t>
      </w:r>
    </w:p>
    <w:p w:rsidR="00A2263D" w:rsidRPr="00F82341" w:rsidRDefault="00A2263D" w:rsidP="00A2263D">
      <w:pPr>
        <w:keepNext/>
        <w:tabs>
          <w:tab w:val="left" w:pos="720"/>
        </w:tabs>
        <w:spacing w:after="120"/>
        <w:jc w:val="both"/>
        <w:outlineLvl w:val="1"/>
        <w:rPr>
          <w:bCs/>
          <w:caps/>
        </w:rPr>
      </w:pPr>
      <w:r>
        <w:rPr>
          <w:b/>
          <w:caps/>
        </w:rPr>
        <w:t>5.</w:t>
      </w:r>
      <w:r>
        <w:tab/>
      </w:r>
      <w:r>
        <w:rPr>
          <w:b/>
          <w:caps/>
        </w:rPr>
        <w:t>STANDARDS</w:t>
      </w:r>
    </w:p>
    <w:p w:rsidR="00A2263D" w:rsidRPr="00F82341" w:rsidRDefault="00A2263D" w:rsidP="00A2263D">
      <w:pPr>
        <w:spacing w:after="120"/>
        <w:ind w:left="720"/>
        <w:jc w:val="both"/>
      </w:pPr>
      <w:r>
        <w:t>The MPH2</w:t>
      </w:r>
      <w:r>
        <w:rPr>
          <w:vertAlign w:val="superscript"/>
        </w:rPr>
        <w:t>TM</w:t>
      </w:r>
      <w:r w:rsidR="009A7DCE">
        <w:t xml:space="preserve"> is</w:t>
      </w:r>
      <w:r>
        <w:t xml:space="preserve"> designed in accordance with the relevant sections of the following documents. If the information in the documents and this specification does not correspond, the information in this specification shall apply.</w:t>
      </w:r>
    </w:p>
    <w:p w:rsidR="00AD6FC0" w:rsidRDefault="00AD6FC0" w:rsidP="005D1E05">
      <w:pPr>
        <w:keepNext/>
        <w:spacing w:after="120"/>
        <w:ind w:left="720"/>
        <w:outlineLvl w:val="3"/>
        <w:rPr>
          <w:rFonts w:eastAsiaTheme="minorEastAsia"/>
          <w:b/>
          <w:bCs/>
          <w:caps/>
        </w:rPr>
      </w:pPr>
    </w:p>
    <w:p w:rsidR="005D1E05" w:rsidRPr="005D1E05" w:rsidRDefault="00AD6FC0" w:rsidP="005D1E05">
      <w:pPr>
        <w:keepNext/>
        <w:spacing w:after="120"/>
        <w:ind w:left="720"/>
        <w:outlineLvl w:val="3"/>
      </w:pPr>
      <w:r>
        <w:rPr>
          <w:rFonts w:eastAsiaTheme="minorEastAsia"/>
          <w:b/>
          <w:bCs/>
          <w:caps/>
        </w:rPr>
        <w:t>EuropE</w:t>
      </w:r>
      <w:r w:rsidR="005D1E05" w:rsidRPr="005D1E05">
        <w:tab/>
      </w:r>
      <w:r w:rsidR="005D1E05" w:rsidRPr="005D1E05">
        <w:tab/>
      </w:r>
    </w:p>
    <w:p w:rsidR="005D1E05" w:rsidRPr="00BA37D8" w:rsidRDefault="005D1E05" w:rsidP="005D1E05">
      <w:pPr>
        <w:ind w:left="720" w:firstLine="720"/>
        <w:jc w:val="both"/>
      </w:pPr>
      <w:r w:rsidRPr="00BA37D8">
        <w:t>CB certification:</w:t>
      </w:r>
    </w:p>
    <w:p w:rsidR="005D1E05" w:rsidRPr="00BA37D8" w:rsidRDefault="005D1E05" w:rsidP="005D1E05">
      <w:pPr>
        <w:ind w:left="1440" w:firstLine="720"/>
        <w:jc w:val="both"/>
      </w:pPr>
      <w:r w:rsidRPr="00BA37D8">
        <w:t>IEC 60950-1:2005 (2nd ed.) + A1:2009</w:t>
      </w:r>
      <w:r w:rsidRPr="00BA37D8">
        <w:tab/>
      </w:r>
      <w:r w:rsidRPr="00BA37D8">
        <w:tab/>
      </w:r>
      <w:r w:rsidRPr="00BA37D8">
        <w:tab/>
      </w:r>
      <w:r w:rsidRPr="00BA37D8">
        <w:tab/>
      </w:r>
    </w:p>
    <w:p w:rsidR="005D1E05" w:rsidRPr="00BA37D8" w:rsidRDefault="005D1E05" w:rsidP="005D1E05">
      <w:pPr>
        <w:ind w:left="720" w:firstLine="720"/>
        <w:jc w:val="both"/>
      </w:pPr>
      <w:r w:rsidRPr="00BA37D8">
        <w:t>BG certification:</w:t>
      </w:r>
    </w:p>
    <w:p w:rsidR="005D1E05" w:rsidRPr="00BA37D8" w:rsidRDefault="005D1E05" w:rsidP="005D1E05">
      <w:pPr>
        <w:ind w:left="1440" w:firstLine="720"/>
        <w:jc w:val="both"/>
      </w:pPr>
      <w:r w:rsidRPr="00BA37D8">
        <w:t>EN 60950-1:2006 + A11:2009 + A1:2010 + A12:2011 + AC2011</w:t>
      </w:r>
    </w:p>
    <w:p w:rsidR="005D1E05" w:rsidRPr="005D1E05" w:rsidRDefault="005D1E05" w:rsidP="005D1E05">
      <w:pPr>
        <w:ind w:left="720" w:firstLine="720"/>
        <w:jc w:val="both"/>
        <w:rPr>
          <w:lang w:val="de-DE"/>
        </w:rPr>
      </w:pPr>
      <w:r w:rsidRPr="005D1E05">
        <w:rPr>
          <w:lang w:val="de-DE"/>
        </w:rPr>
        <w:t>EMC:</w:t>
      </w:r>
    </w:p>
    <w:p w:rsidR="005D1E05" w:rsidRPr="005D1E05" w:rsidRDefault="005D1E05" w:rsidP="005D1E05">
      <w:pPr>
        <w:ind w:left="1440" w:firstLine="720"/>
        <w:jc w:val="both"/>
        <w:rPr>
          <w:lang w:val="de-DE"/>
        </w:rPr>
      </w:pPr>
      <w:r w:rsidRPr="005D1E05">
        <w:rPr>
          <w:lang w:val="de-DE"/>
        </w:rPr>
        <w:t>EN 55022:2010 + AC:2011</w:t>
      </w:r>
    </w:p>
    <w:p w:rsidR="005D1E05" w:rsidRPr="005D1E05" w:rsidRDefault="005D1E05" w:rsidP="005D1E05">
      <w:pPr>
        <w:ind w:left="1440" w:firstLine="720"/>
        <w:jc w:val="both"/>
        <w:rPr>
          <w:lang w:val="de-DE"/>
        </w:rPr>
      </w:pPr>
      <w:r w:rsidRPr="005D1E05">
        <w:rPr>
          <w:lang w:val="de-DE"/>
        </w:rPr>
        <w:t>EN 55024:2010</w:t>
      </w:r>
    </w:p>
    <w:p w:rsidR="005D1E05" w:rsidRPr="00BA37D8" w:rsidRDefault="005D1E05" w:rsidP="005D1E05">
      <w:pPr>
        <w:ind w:left="1440" w:firstLine="720"/>
        <w:jc w:val="both"/>
      </w:pPr>
      <w:r w:rsidRPr="005D1E05">
        <w:rPr>
          <w:lang w:val="de-DE"/>
        </w:rPr>
        <w:t xml:space="preserve">EN 61000-4-2 ….. </w:t>
      </w:r>
      <w:r w:rsidRPr="00BA37D8">
        <w:t>EN 61000-4-11</w:t>
      </w:r>
    </w:p>
    <w:p w:rsidR="005D1E05" w:rsidRPr="00BA37D8" w:rsidRDefault="005D1E05" w:rsidP="005D1E05">
      <w:pPr>
        <w:ind w:left="720" w:firstLine="720"/>
        <w:jc w:val="both"/>
      </w:pPr>
      <w:r w:rsidRPr="00BA37D8">
        <w:t>CE-compliance:</w:t>
      </w:r>
    </w:p>
    <w:p w:rsidR="005D1E05" w:rsidRPr="00BA37D8" w:rsidRDefault="005D1E05" w:rsidP="005D1E05">
      <w:pPr>
        <w:ind w:left="1440" w:firstLine="720"/>
        <w:jc w:val="both"/>
      </w:pPr>
      <w:r w:rsidRPr="00BA37D8">
        <w:t>Directive 2004/108/</w:t>
      </w:r>
      <w:proofErr w:type="gramStart"/>
      <w:r w:rsidRPr="00BA37D8">
        <w:t>EC  Electromagnetic</w:t>
      </w:r>
      <w:proofErr w:type="gramEnd"/>
      <w:r w:rsidRPr="00BA37D8">
        <w:t xml:space="preserve"> Compatibility (EMC) </w:t>
      </w:r>
    </w:p>
    <w:p w:rsidR="005D1E05" w:rsidRPr="00BA37D8" w:rsidRDefault="005D1E05" w:rsidP="005D1E05">
      <w:pPr>
        <w:ind w:left="2160"/>
        <w:jc w:val="both"/>
      </w:pPr>
      <w:r w:rsidRPr="00BA37D8">
        <w:t>Directive 2006/95/EC Low voltage (LVD)</w:t>
      </w:r>
    </w:p>
    <w:p w:rsidR="005D1E05" w:rsidRPr="00BA37D8" w:rsidRDefault="005D1E05" w:rsidP="005D1E05">
      <w:pPr>
        <w:ind w:left="1440" w:firstLine="720"/>
        <w:jc w:val="both"/>
      </w:pPr>
      <w:r w:rsidRPr="00BA37D8">
        <w:t>Directive 2011/65/EU Restriction of the use of certain hazardous substances (</w:t>
      </w:r>
      <w:proofErr w:type="spellStart"/>
      <w:r w:rsidRPr="00BA37D8">
        <w:t>RoHS</w:t>
      </w:r>
      <w:proofErr w:type="spellEnd"/>
      <w:r w:rsidRPr="00BA37D8">
        <w:t>)</w:t>
      </w:r>
    </w:p>
    <w:p w:rsidR="005D1E05" w:rsidRPr="00BA37D8" w:rsidRDefault="005D1E05" w:rsidP="005D1E05">
      <w:pPr>
        <w:ind w:left="1440" w:firstLine="720"/>
        <w:jc w:val="both"/>
      </w:pPr>
    </w:p>
    <w:p w:rsidR="005D1E05" w:rsidRPr="00BA37D8" w:rsidRDefault="00AD6FC0" w:rsidP="005D1E05">
      <w:pPr>
        <w:ind w:firstLine="720"/>
        <w:jc w:val="both"/>
        <w:rPr>
          <w:b/>
        </w:rPr>
      </w:pPr>
      <w:r>
        <w:rPr>
          <w:b/>
        </w:rPr>
        <w:t>NORTH AMERICA</w:t>
      </w:r>
      <w:r w:rsidR="005D1E05" w:rsidRPr="00BA37D8">
        <w:rPr>
          <w:b/>
        </w:rPr>
        <w:tab/>
      </w:r>
    </w:p>
    <w:p w:rsidR="005D1E05" w:rsidRPr="00BA37D8" w:rsidRDefault="005D1E05" w:rsidP="005D1E05">
      <w:pPr>
        <w:ind w:firstLine="720"/>
        <w:jc w:val="both"/>
        <w:rPr>
          <w:b/>
        </w:rPr>
      </w:pPr>
    </w:p>
    <w:p w:rsidR="005D1E05" w:rsidRPr="00BA37D8" w:rsidRDefault="005D1E05" w:rsidP="005D1E05">
      <w:pPr>
        <w:ind w:firstLine="720"/>
        <w:jc w:val="both"/>
      </w:pPr>
      <w:r w:rsidRPr="00BA37D8">
        <w:rPr>
          <w:b/>
        </w:rPr>
        <w:tab/>
      </w:r>
      <w:r w:rsidRPr="00BA37D8">
        <w:t>UL certification:</w:t>
      </w:r>
    </w:p>
    <w:p w:rsidR="005D1E05" w:rsidRPr="00BA37D8" w:rsidRDefault="005D1E05" w:rsidP="005D1E05">
      <w:pPr>
        <w:ind w:left="1440" w:firstLine="720"/>
        <w:jc w:val="both"/>
      </w:pPr>
      <w:r w:rsidRPr="00BA37D8">
        <w:t>UL 60950-1, Second Edition, rev. December 19, 2011</w:t>
      </w:r>
      <w:r w:rsidRPr="00BA37D8">
        <w:tab/>
      </w:r>
      <w:r w:rsidRPr="00BA37D8">
        <w:tab/>
      </w:r>
    </w:p>
    <w:p w:rsidR="005D1E05" w:rsidRPr="00BA37D8" w:rsidRDefault="005D1E05" w:rsidP="005D1E05">
      <w:pPr>
        <w:ind w:left="1440" w:firstLine="720"/>
        <w:jc w:val="both"/>
      </w:pPr>
      <w:r w:rsidRPr="00BA37D8">
        <w:t>CAN/CSA C22.2 No. 60950-1-2007 (R2012)</w:t>
      </w:r>
    </w:p>
    <w:p w:rsidR="005D1E05" w:rsidRPr="00BA37D8" w:rsidRDefault="005D1E05" w:rsidP="005D1E05">
      <w:pPr>
        <w:ind w:left="720" w:firstLine="720"/>
        <w:jc w:val="both"/>
      </w:pPr>
      <w:r w:rsidRPr="00BA37D8">
        <w:t>EMC</w:t>
      </w:r>
    </w:p>
    <w:p w:rsidR="005D1E05" w:rsidRPr="00BA37D8" w:rsidRDefault="005D1E05" w:rsidP="005D1E05">
      <w:pPr>
        <w:ind w:left="720" w:firstLine="720"/>
        <w:jc w:val="both"/>
      </w:pPr>
      <w:r w:rsidRPr="00BA37D8">
        <w:t>FCC: CFR47</w:t>
      </w:r>
    </w:p>
    <w:p w:rsidR="00A82670" w:rsidRDefault="00A82670" w:rsidP="00A82670">
      <w:pPr>
        <w:ind w:firstLine="720"/>
        <w:jc w:val="both"/>
        <w:rPr>
          <w:b/>
        </w:rPr>
      </w:pPr>
    </w:p>
    <w:p w:rsidR="00A82670" w:rsidRPr="00A82670" w:rsidRDefault="00A82670" w:rsidP="00A82670">
      <w:pPr>
        <w:ind w:firstLine="720"/>
        <w:jc w:val="both"/>
        <w:rPr>
          <w:b/>
        </w:rPr>
      </w:pPr>
      <w:r>
        <w:rPr>
          <w:b/>
        </w:rPr>
        <w:tab/>
      </w:r>
    </w:p>
    <w:p w:rsidR="005F7F4B" w:rsidRPr="00F82341" w:rsidRDefault="005F7F4B" w:rsidP="00870AB3">
      <w:pPr>
        <w:pStyle w:val="berschrift2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5D1E05" w:rsidRDefault="005D1E05" w:rsidP="00870AB3">
      <w:pPr>
        <w:pStyle w:val="berschrift2"/>
        <w:jc w:val="both"/>
        <w:rPr>
          <w:rFonts w:ascii="Times New Roman" w:hAnsi="Times New Roman"/>
          <w:color w:val="000000"/>
          <w:sz w:val="20"/>
        </w:rPr>
      </w:pPr>
    </w:p>
    <w:p w:rsidR="00AD6FC0" w:rsidRDefault="00AD6FC0" w:rsidP="00870AB3">
      <w:pPr>
        <w:pStyle w:val="berschrift2"/>
        <w:jc w:val="both"/>
        <w:rPr>
          <w:rFonts w:ascii="Times New Roman" w:hAnsi="Times New Roman"/>
          <w:color w:val="000000"/>
          <w:sz w:val="20"/>
        </w:rPr>
      </w:pPr>
    </w:p>
    <w:p w:rsidR="003C115A" w:rsidRDefault="005F7F4B" w:rsidP="00870AB3">
      <w:pPr>
        <w:pStyle w:val="berschrift2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  <w:t>6.</w:t>
      </w:r>
      <w:r w:rsidR="003C115A">
        <w:rPr>
          <w:rFonts w:ascii="Times New Roman" w:hAnsi="Times New Roman"/>
          <w:color w:val="000000"/>
          <w:sz w:val="20"/>
        </w:rPr>
        <w:tab/>
        <w:t>Physical dimensions</w:t>
      </w:r>
    </w:p>
    <w:p w:rsidR="003C115A" w:rsidRDefault="003C115A" w:rsidP="003C115A">
      <w:pPr>
        <w:spacing w:after="120"/>
        <w:ind w:left="720"/>
        <w:jc w:val="both"/>
      </w:pPr>
      <w:r>
        <w:t>Width x Depth (mm):</w:t>
      </w:r>
      <w:r>
        <w:tab/>
      </w:r>
      <w:r w:rsidR="00947C7C">
        <w:t>56mm x 50mm</w:t>
      </w:r>
    </w:p>
    <w:p w:rsidR="00947C7C" w:rsidRPr="00F82341" w:rsidRDefault="00947C7C" w:rsidP="00947C7C">
      <w:pPr>
        <w:spacing w:after="120"/>
        <w:ind w:left="720"/>
        <w:jc w:val="both"/>
      </w:pPr>
      <w:r>
        <w:t>Length (mm):</w:t>
      </w:r>
      <w:r>
        <w:tab/>
      </w:r>
      <w:r>
        <w:tab/>
        <w:t>916 mm / 1004 mm / 1737 mm/ 1827 mm</w:t>
      </w:r>
    </w:p>
    <w:p w:rsidR="00947C7C" w:rsidRDefault="005F7F4B" w:rsidP="00870AB3">
      <w:pPr>
        <w:pStyle w:val="berschrift2"/>
        <w:jc w:val="both"/>
        <w:rPr>
          <w:rFonts w:ascii="Times New Roman" w:hAnsi="Times New Roman"/>
          <w:color w:val="000000"/>
          <w:sz w:val="20"/>
        </w:rPr>
      </w:pPr>
      <w:r>
        <w:tab/>
      </w:r>
    </w:p>
    <w:p w:rsidR="0091606F" w:rsidRPr="00947C7C" w:rsidRDefault="00947C7C" w:rsidP="00870AB3">
      <w:pPr>
        <w:pStyle w:val="berschrift2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  <w:t>7.</w:t>
      </w:r>
      <w:r>
        <w:rPr>
          <w:rFonts w:ascii="Times New Roman" w:hAnsi="Times New Roman"/>
          <w:color w:val="000000"/>
          <w:sz w:val="20"/>
        </w:rPr>
        <w:tab/>
      </w:r>
      <w:r w:rsidR="005F7F4B">
        <w:rPr>
          <w:rFonts w:ascii="Times New Roman" w:hAnsi="Times New Roman"/>
          <w:color w:val="000000"/>
          <w:sz w:val="20"/>
        </w:rPr>
        <w:t>Items supplied</w:t>
      </w:r>
    </w:p>
    <w:p w:rsidR="005F7F4B" w:rsidRPr="00F82341" w:rsidRDefault="005F7F4B" w:rsidP="005F7F4B">
      <w:r>
        <w:tab/>
        <w:t>MPH2</w:t>
      </w:r>
      <w:r>
        <w:rPr>
          <w:vertAlign w:val="superscript"/>
        </w:rPr>
        <w:t xml:space="preserve">TM </w:t>
      </w:r>
      <w:r>
        <w:t>rack PDU</w:t>
      </w:r>
    </w:p>
    <w:p w:rsidR="005F7F4B" w:rsidRPr="00F82341" w:rsidRDefault="005F7F4B" w:rsidP="005F7F4B">
      <w:r>
        <w:tab/>
        <w:t>Standard fixing bracket</w:t>
      </w:r>
    </w:p>
    <w:p w:rsidR="00F82341" w:rsidRPr="00F82341" w:rsidRDefault="00F82341" w:rsidP="005F7F4B">
      <w:r>
        <w:tab/>
        <w:t>Safety notes</w:t>
      </w:r>
    </w:p>
    <w:p w:rsidR="00F82341" w:rsidRPr="00F82341" w:rsidRDefault="00F82341" w:rsidP="005F7F4B">
      <w:r>
        <w:tab/>
        <w:t>Quickstart guide</w:t>
      </w:r>
    </w:p>
    <w:p w:rsidR="00F82341" w:rsidRPr="00F82341" w:rsidRDefault="00F82341" w:rsidP="005F7F4B"/>
    <w:p w:rsidR="00F82341" w:rsidRDefault="00F82341" w:rsidP="005F7F4B">
      <w:r>
        <w:tab/>
      </w:r>
    </w:p>
    <w:sectPr w:rsidR="00F82341" w:rsidSect="003A4B36">
      <w:footerReference w:type="default" r:id="rId9"/>
      <w:pgSz w:w="12240" w:h="15840"/>
      <w:pgMar w:top="1440" w:right="1440" w:bottom="1440" w:left="1440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0140" w:rsidRDefault="009A0140" w:rsidP="00E64AE7">
      <w:r>
        <w:separator/>
      </w:r>
    </w:p>
  </w:endnote>
  <w:endnote w:type="continuationSeparator" w:id="0">
    <w:p w:rsidR="009A0140" w:rsidRDefault="009A0140" w:rsidP="00E64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7F63" w:rsidRPr="00953E24" w:rsidRDefault="00537F63">
    <w:pPr>
      <w:pStyle w:val="Fuzeile"/>
    </w:pPr>
    <w:r>
      <w:t>MPH2</w:t>
    </w:r>
    <w:r>
      <w:rPr>
        <w:vertAlign w:val="superscript"/>
      </w:rPr>
      <w:t>TM</w:t>
    </w:r>
    <w:r>
      <w:tab/>
    </w:r>
    <w:r>
      <w:tab/>
    </w:r>
  </w:p>
  <w:p w:rsidR="00537F63" w:rsidRPr="00953E24" w:rsidRDefault="00537F63">
    <w:pPr>
      <w:pStyle w:val="Fuzeile"/>
    </w:pPr>
    <w:r>
      <w:tab/>
    </w:r>
    <w:r>
      <w:tab/>
      <w:t>Rev 1 (2013/11)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0140" w:rsidRDefault="009A0140" w:rsidP="00E64AE7">
      <w:r>
        <w:separator/>
      </w:r>
    </w:p>
  </w:footnote>
  <w:footnote w:type="continuationSeparator" w:id="0">
    <w:p w:rsidR="009A0140" w:rsidRDefault="009A0140" w:rsidP="00E64A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C74225E"/>
    <w:lvl w:ilvl="0">
      <w:numFmt w:val="bullet"/>
      <w:lvlText w:val="*"/>
      <w:lvlJc w:val="left"/>
    </w:lvl>
  </w:abstractNum>
  <w:abstractNum w:abstractNumId="1">
    <w:nsid w:val="0C3206EB"/>
    <w:multiLevelType w:val="multilevel"/>
    <w:tmpl w:val="0C940D96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2">
    <w:nsid w:val="3DAE0DCD"/>
    <w:multiLevelType w:val="hybridMultilevel"/>
    <w:tmpl w:val="BEB829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3">
    <w:nsid w:val="6028178C"/>
    <w:multiLevelType w:val="hybridMultilevel"/>
    <w:tmpl w:val="23DAA336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hint="default"/>
          <w:sz w:val="28"/>
        </w:rPr>
      </w:lvl>
    </w:lvlOverride>
  </w:num>
  <w:num w:numId="4">
    <w:abstractNumId w:val="0"/>
    <w:lvlOverride w:ilvl="0">
      <w:lvl w:ilvl="0">
        <w:numFmt w:val="bullet"/>
        <w:lvlText w:val="–"/>
        <w:legacy w:legacy="1" w:legacySpace="0" w:legacyIndent="0"/>
        <w:lvlJc w:val="left"/>
        <w:rPr>
          <w:rFonts w:ascii="Arial" w:hAnsi="Arial" w:hint="default"/>
          <w:sz w:val="32"/>
        </w:rPr>
      </w:lvl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AE7"/>
    <w:rsid w:val="000201C3"/>
    <w:rsid w:val="000524E8"/>
    <w:rsid w:val="000A157C"/>
    <w:rsid w:val="000E516F"/>
    <w:rsid w:val="0011008C"/>
    <w:rsid w:val="00110D7C"/>
    <w:rsid w:val="001358FB"/>
    <w:rsid w:val="00150A22"/>
    <w:rsid w:val="00164B2A"/>
    <w:rsid w:val="001950A2"/>
    <w:rsid w:val="001D0FD4"/>
    <w:rsid w:val="00223483"/>
    <w:rsid w:val="002446F4"/>
    <w:rsid w:val="00246049"/>
    <w:rsid w:val="002460A2"/>
    <w:rsid w:val="00251471"/>
    <w:rsid w:val="0027281C"/>
    <w:rsid w:val="002768DF"/>
    <w:rsid w:val="00291D25"/>
    <w:rsid w:val="002D38EB"/>
    <w:rsid w:val="002E0AC2"/>
    <w:rsid w:val="00330AAB"/>
    <w:rsid w:val="00350A8B"/>
    <w:rsid w:val="003A4B36"/>
    <w:rsid w:val="003C115A"/>
    <w:rsid w:val="00403C3B"/>
    <w:rsid w:val="004061DB"/>
    <w:rsid w:val="004064C9"/>
    <w:rsid w:val="004156D3"/>
    <w:rsid w:val="00432769"/>
    <w:rsid w:val="00435EC8"/>
    <w:rsid w:val="00443CFE"/>
    <w:rsid w:val="004909EA"/>
    <w:rsid w:val="004C50BE"/>
    <w:rsid w:val="004F4F71"/>
    <w:rsid w:val="00501023"/>
    <w:rsid w:val="00537F63"/>
    <w:rsid w:val="00562811"/>
    <w:rsid w:val="005D1E05"/>
    <w:rsid w:val="005F7F4B"/>
    <w:rsid w:val="006224CC"/>
    <w:rsid w:val="00711026"/>
    <w:rsid w:val="00721B3B"/>
    <w:rsid w:val="007248CD"/>
    <w:rsid w:val="007C2F37"/>
    <w:rsid w:val="007D666F"/>
    <w:rsid w:val="007F138A"/>
    <w:rsid w:val="00870AB3"/>
    <w:rsid w:val="008C3F99"/>
    <w:rsid w:val="0091606F"/>
    <w:rsid w:val="00947C7C"/>
    <w:rsid w:val="00953E24"/>
    <w:rsid w:val="00992D90"/>
    <w:rsid w:val="009A0140"/>
    <w:rsid w:val="009A7DCE"/>
    <w:rsid w:val="009B0543"/>
    <w:rsid w:val="009D47D3"/>
    <w:rsid w:val="00A2263D"/>
    <w:rsid w:val="00A35D0C"/>
    <w:rsid w:val="00A406F8"/>
    <w:rsid w:val="00A40AC2"/>
    <w:rsid w:val="00A82670"/>
    <w:rsid w:val="00AC6FD0"/>
    <w:rsid w:val="00AD6FC0"/>
    <w:rsid w:val="00AE30F3"/>
    <w:rsid w:val="00AF62CB"/>
    <w:rsid w:val="00B0140A"/>
    <w:rsid w:val="00B07983"/>
    <w:rsid w:val="00B322B5"/>
    <w:rsid w:val="00B35481"/>
    <w:rsid w:val="00B427DB"/>
    <w:rsid w:val="00B43CC5"/>
    <w:rsid w:val="00B6226B"/>
    <w:rsid w:val="00B93F8F"/>
    <w:rsid w:val="00B975EF"/>
    <w:rsid w:val="00BB0269"/>
    <w:rsid w:val="00BB65F2"/>
    <w:rsid w:val="00BD2D94"/>
    <w:rsid w:val="00BE1001"/>
    <w:rsid w:val="00BE49EB"/>
    <w:rsid w:val="00C42D3F"/>
    <w:rsid w:val="00C72B4C"/>
    <w:rsid w:val="00C84033"/>
    <w:rsid w:val="00C93A82"/>
    <w:rsid w:val="00C96DE1"/>
    <w:rsid w:val="00CB5947"/>
    <w:rsid w:val="00CD484B"/>
    <w:rsid w:val="00CF2F1F"/>
    <w:rsid w:val="00D17421"/>
    <w:rsid w:val="00D34DF8"/>
    <w:rsid w:val="00D4042C"/>
    <w:rsid w:val="00E12282"/>
    <w:rsid w:val="00E15897"/>
    <w:rsid w:val="00E252ED"/>
    <w:rsid w:val="00E62B66"/>
    <w:rsid w:val="00E648E9"/>
    <w:rsid w:val="00E64AE7"/>
    <w:rsid w:val="00E93990"/>
    <w:rsid w:val="00F266BA"/>
    <w:rsid w:val="00F5780D"/>
    <w:rsid w:val="00F66188"/>
    <w:rsid w:val="00F82341"/>
    <w:rsid w:val="00F9412B"/>
    <w:rsid w:val="00F97C8B"/>
    <w:rsid w:val="00FD71BC"/>
    <w:rsid w:val="00FE3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Normal Indent" w:locked="1" w:semiHidden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C115A"/>
    <w:rPr>
      <w:rFonts w:ascii="Times New Roman" w:hAnsi="Times New Roman" w:cs="Times New Roman"/>
      <w:sz w:val="20"/>
      <w:szCs w:val="20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E64AE7"/>
    <w:pPr>
      <w:keepNext/>
      <w:spacing w:before="240" w:after="160"/>
      <w:jc w:val="center"/>
      <w:outlineLvl w:val="0"/>
    </w:pPr>
    <w:rPr>
      <w:rFonts w:ascii="Arial" w:hAnsi="Arial" w:cs="Arial"/>
      <w:b/>
      <w:bCs/>
      <w:caps/>
      <w:kern w:val="28"/>
      <w:sz w:val="22"/>
      <w:szCs w:val="22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E64AE7"/>
    <w:pPr>
      <w:keepNext/>
      <w:tabs>
        <w:tab w:val="left" w:pos="720"/>
      </w:tabs>
      <w:spacing w:after="120"/>
      <w:outlineLvl w:val="1"/>
    </w:pPr>
    <w:rPr>
      <w:rFonts w:ascii="Arial" w:hAnsi="Arial" w:cs="Arial"/>
      <w:b/>
      <w:bCs/>
      <w:caps/>
      <w:sz w:val="22"/>
      <w:szCs w:val="22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2460A2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locked/>
    <w:rsid w:val="00435EC8"/>
    <w:pPr>
      <w:keepNext/>
      <w:spacing w:before="240" w:after="60"/>
      <w:outlineLvl w:val="3"/>
    </w:pPr>
    <w:rPr>
      <w:rFonts w:asciiTheme="minorHAnsi" w:eastAsiaTheme="minorEastAsia" w:hAnsiTheme="minorHAnsi"/>
      <w:b/>
      <w:bCs/>
      <w:sz w:val="28"/>
      <w:szCs w:val="28"/>
    </w:rPr>
  </w:style>
  <w:style w:type="paragraph" w:styleId="berschrift6">
    <w:name w:val="heading 6"/>
    <w:basedOn w:val="Standard"/>
    <w:next w:val="Standard"/>
    <w:link w:val="berschrift6Zchn"/>
    <w:uiPriority w:val="99"/>
    <w:qFormat/>
    <w:rsid w:val="002460A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locked/>
    <w:rsid w:val="00435EC8"/>
    <w:pPr>
      <w:spacing w:before="240" w:after="60"/>
      <w:outlineLvl w:val="6"/>
    </w:pPr>
    <w:rPr>
      <w:rFonts w:asciiTheme="minorHAnsi" w:eastAsiaTheme="minorEastAsia" w:hAnsiTheme="minorHAnsi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locked/>
    <w:rsid w:val="00E64AE7"/>
    <w:rPr>
      <w:rFonts w:ascii="Arial" w:hAnsi="Arial" w:cs="Arial"/>
      <w:b/>
      <w:bCs/>
      <w:caps/>
      <w:kern w:val="28"/>
    </w:rPr>
  </w:style>
  <w:style w:type="character" w:customStyle="1" w:styleId="berschrift2Zchn">
    <w:name w:val="Überschrift 2 Zchn"/>
    <w:basedOn w:val="Absatz-Standardschriftart"/>
    <w:link w:val="berschrift2"/>
    <w:uiPriority w:val="99"/>
    <w:locked/>
    <w:rsid w:val="00E64AE7"/>
    <w:rPr>
      <w:rFonts w:ascii="Arial" w:hAnsi="Arial" w:cs="Arial"/>
      <w:b/>
      <w:bCs/>
      <w:caps/>
    </w:rPr>
  </w:style>
  <w:style w:type="character" w:customStyle="1" w:styleId="berschrift3Zchn">
    <w:name w:val="Überschrift 3 Zchn"/>
    <w:basedOn w:val="Absatz-Standardschriftart"/>
    <w:link w:val="berschrift3"/>
    <w:uiPriority w:val="99"/>
    <w:semiHidden/>
    <w:locked/>
    <w:rsid w:val="002460A2"/>
    <w:rPr>
      <w:rFonts w:ascii="Cambria" w:hAnsi="Cambria" w:cs="Times New Roman"/>
      <w:b/>
      <w:bCs/>
      <w:color w:val="4F81BD"/>
      <w:sz w:val="20"/>
      <w:szCs w:val="20"/>
    </w:rPr>
  </w:style>
  <w:style w:type="character" w:customStyle="1" w:styleId="berschrift4Zchn">
    <w:name w:val="Überschrift 4 Zchn"/>
    <w:basedOn w:val="Absatz-Standardschriftart"/>
    <w:link w:val="berschrift4"/>
    <w:uiPriority w:val="9"/>
    <w:locked/>
    <w:rsid w:val="00435EC8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berschrift6Zchn">
    <w:name w:val="Überschrift 6 Zchn"/>
    <w:basedOn w:val="Absatz-Standardschriftart"/>
    <w:link w:val="berschrift6"/>
    <w:uiPriority w:val="99"/>
    <w:semiHidden/>
    <w:locked/>
    <w:rsid w:val="002460A2"/>
    <w:rPr>
      <w:rFonts w:ascii="Cambria" w:hAnsi="Cambria" w:cs="Times New Roman"/>
      <w:i/>
      <w:iCs/>
      <w:color w:val="243F60"/>
      <w:sz w:val="20"/>
      <w:szCs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locked/>
    <w:rsid w:val="00435EC8"/>
    <w:rPr>
      <w:rFonts w:asciiTheme="minorHAnsi" w:eastAsiaTheme="minorEastAsia" w:hAnsiTheme="minorHAnsi" w:cs="Times New Roman"/>
      <w:sz w:val="24"/>
      <w:szCs w:val="24"/>
    </w:rPr>
  </w:style>
  <w:style w:type="paragraph" w:styleId="Kopfzeile">
    <w:name w:val="header"/>
    <w:basedOn w:val="Standard"/>
    <w:link w:val="KopfzeileZchn"/>
    <w:uiPriority w:val="99"/>
    <w:rsid w:val="00E64AE7"/>
    <w:pPr>
      <w:tabs>
        <w:tab w:val="center" w:pos="4320"/>
        <w:tab w:val="right" w:pos="8640"/>
      </w:tabs>
    </w:pPr>
    <w:rPr>
      <w:rFonts w:ascii="Arial" w:hAnsi="Arial"/>
    </w:rPr>
  </w:style>
  <w:style w:type="character" w:customStyle="1" w:styleId="KopfzeileZchn">
    <w:name w:val="Kopfzeile Zchn"/>
    <w:basedOn w:val="Absatz-Standardschriftart"/>
    <w:link w:val="Kopfzeile"/>
    <w:uiPriority w:val="99"/>
    <w:locked/>
    <w:rsid w:val="00E64AE7"/>
    <w:rPr>
      <w:rFonts w:ascii="Arial" w:hAnsi="Arial" w:cs="Times New Roman"/>
      <w:sz w:val="20"/>
      <w:szCs w:val="20"/>
    </w:rPr>
  </w:style>
  <w:style w:type="paragraph" w:styleId="Fuzeile">
    <w:name w:val="footer"/>
    <w:basedOn w:val="Standard"/>
    <w:link w:val="FuzeileZchn"/>
    <w:uiPriority w:val="99"/>
    <w:semiHidden/>
    <w:rsid w:val="00E64AE7"/>
    <w:pPr>
      <w:tabs>
        <w:tab w:val="center" w:pos="4680"/>
        <w:tab w:val="right" w:pos="9360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locked/>
    <w:rsid w:val="00E64AE7"/>
    <w:rPr>
      <w:rFonts w:ascii="Times New Roman" w:hAnsi="Times New Roman" w:cs="Times New Roman"/>
      <w:sz w:val="20"/>
      <w:szCs w:val="20"/>
    </w:rPr>
  </w:style>
  <w:style w:type="paragraph" w:styleId="Textkrper">
    <w:name w:val="Body Text"/>
    <w:basedOn w:val="Standard"/>
    <w:link w:val="TextkrperZchn"/>
    <w:uiPriority w:val="99"/>
    <w:rsid w:val="00E64AE7"/>
    <w:pPr>
      <w:spacing w:after="160"/>
    </w:pPr>
    <w:rPr>
      <w:sz w:val="22"/>
      <w:szCs w:val="22"/>
    </w:rPr>
  </w:style>
  <w:style w:type="character" w:customStyle="1" w:styleId="TextkrperZchn">
    <w:name w:val="Textkörper Zchn"/>
    <w:basedOn w:val="Absatz-Standardschriftart"/>
    <w:link w:val="Textkrper"/>
    <w:uiPriority w:val="99"/>
    <w:locked/>
    <w:rsid w:val="00E64AE7"/>
    <w:rPr>
      <w:rFonts w:ascii="Times New Roman" w:hAnsi="Times New Roman" w:cs="Times New Roman"/>
    </w:rPr>
  </w:style>
  <w:style w:type="paragraph" w:styleId="Listenabsatz">
    <w:name w:val="List Paragraph"/>
    <w:basedOn w:val="Standard"/>
    <w:uiPriority w:val="99"/>
    <w:qFormat/>
    <w:rsid w:val="00150A22"/>
    <w:pPr>
      <w:ind w:left="720"/>
      <w:contextualSpacing/>
    </w:pPr>
  </w:style>
  <w:style w:type="paragraph" w:styleId="Standardeinzug">
    <w:name w:val="Normal Indent"/>
    <w:basedOn w:val="Standard"/>
    <w:uiPriority w:val="99"/>
    <w:rsid w:val="00150A22"/>
    <w:pPr>
      <w:spacing w:before="40" w:after="40"/>
      <w:ind w:left="360"/>
    </w:pPr>
    <w:rPr>
      <w:rFonts w:ascii="Arial" w:hAnsi="Arial"/>
    </w:rPr>
  </w:style>
  <w:style w:type="paragraph" w:styleId="Textkrper-Einzug2">
    <w:name w:val="Body Text Indent 2"/>
    <w:basedOn w:val="Standard"/>
    <w:link w:val="Textkrper-Einzug2Zchn"/>
    <w:uiPriority w:val="99"/>
    <w:rsid w:val="002460A2"/>
    <w:pPr>
      <w:spacing w:after="120" w:line="480" w:lineRule="auto"/>
      <w:ind w:left="360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locked/>
    <w:rsid w:val="002460A2"/>
    <w:rPr>
      <w:rFonts w:ascii="Times New Roman" w:hAnsi="Times New Roman" w:cs="Times New Roman"/>
      <w:sz w:val="20"/>
      <w:szCs w:val="20"/>
    </w:rPr>
  </w:style>
  <w:style w:type="paragraph" w:styleId="Textkrper2">
    <w:name w:val="Body Text 2"/>
    <w:basedOn w:val="Standard"/>
    <w:link w:val="Textkrper2Zchn"/>
    <w:uiPriority w:val="99"/>
    <w:semiHidden/>
    <w:rsid w:val="002460A2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locked/>
    <w:rsid w:val="002460A2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Normal Indent" w:locked="1" w:semiHidden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C115A"/>
    <w:rPr>
      <w:rFonts w:ascii="Times New Roman" w:hAnsi="Times New Roman" w:cs="Times New Roman"/>
      <w:sz w:val="20"/>
      <w:szCs w:val="20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E64AE7"/>
    <w:pPr>
      <w:keepNext/>
      <w:spacing w:before="240" w:after="160"/>
      <w:jc w:val="center"/>
      <w:outlineLvl w:val="0"/>
    </w:pPr>
    <w:rPr>
      <w:rFonts w:ascii="Arial" w:hAnsi="Arial" w:cs="Arial"/>
      <w:b/>
      <w:bCs/>
      <w:caps/>
      <w:kern w:val="28"/>
      <w:sz w:val="22"/>
      <w:szCs w:val="22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E64AE7"/>
    <w:pPr>
      <w:keepNext/>
      <w:tabs>
        <w:tab w:val="left" w:pos="720"/>
      </w:tabs>
      <w:spacing w:after="120"/>
      <w:outlineLvl w:val="1"/>
    </w:pPr>
    <w:rPr>
      <w:rFonts w:ascii="Arial" w:hAnsi="Arial" w:cs="Arial"/>
      <w:b/>
      <w:bCs/>
      <w:caps/>
      <w:sz w:val="22"/>
      <w:szCs w:val="22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2460A2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locked/>
    <w:rsid w:val="00435EC8"/>
    <w:pPr>
      <w:keepNext/>
      <w:spacing w:before="240" w:after="60"/>
      <w:outlineLvl w:val="3"/>
    </w:pPr>
    <w:rPr>
      <w:rFonts w:asciiTheme="minorHAnsi" w:eastAsiaTheme="minorEastAsia" w:hAnsiTheme="minorHAnsi"/>
      <w:b/>
      <w:bCs/>
      <w:sz w:val="28"/>
      <w:szCs w:val="28"/>
    </w:rPr>
  </w:style>
  <w:style w:type="paragraph" w:styleId="berschrift6">
    <w:name w:val="heading 6"/>
    <w:basedOn w:val="Standard"/>
    <w:next w:val="Standard"/>
    <w:link w:val="berschrift6Zchn"/>
    <w:uiPriority w:val="99"/>
    <w:qFormat/>
    <w:rsid w:val="002460A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locked/>
    <w:rsid w:val="00435EC8"/>
    <w:pPr>
      <w:spacing w:before="240" w:after="60"/>
      <w:outlineLvl w:val="6"/>
    </w:pPr>
    <w:rPr>
      <w:rFonts w:asciiTheme="minorHAnsi" w:eastAsiaTheme="minorEastAsia" w:hAnsiTheme="minorHAnsi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locked/>
    <w:rsid w:val="00E64AE7"/>
    <w:rPr>
      <w:rFonts w:ascii="Arial" w:hAnsi="Arial" w:cs="Arial"/>
      <w:b/>
      <w:bCs/>
      <w:caps/>
      <w:kern w:val="28"/>
    </w:rPr>
  </w:style>
  <w:style w:type="character" w:customStyle="1" w:styleId="berschrift2Zchn">
    <w:name w:val="Überschrift 2 Zchn"/>
    <w:basedOn w:val="Absatz-Standardschriftart"/>
    <w:link w:val="berschrift2"/>
    <w:uiPriority w:val="99"/>
    <w:locked/>
    <w:rsid w:val="00E64AE7"/>
    <w:rPr>
      <w:rFonts w:ascii="Arial" w:hAnsi="Arial" w:cs="Arial"/>
      <w:b/>
      <w:bCs/>
      <w:caps/>
    </w:rPr>
  </w:style>
  <w:style w:type="character" w:customStyle="1" w:styleId="berschrift3Zchn">
    <w:name w:val="Überschrift 3 Zchn"/>
    <w:basedOn w:val="Absatz-Standardschriftart"/>
    <w:link w:val="berschrift3"/>
    <w:uiPriority w:val="99"/>
    <w:semiHidden/>
    <w:locked/>
    <w:rsid w:val="002460A2"/>
    <w:rPr>
      <w:rFonts w:ascii="Cambria" w:hAnsi="Cambria" w:cs="Times New Roman"/>
      <w:b/>
      <w:bCs/>
      <w:color w:val="4F81BD"/>
      <w:sz w:val="20"/>
      <w:szCs w:val="20"/>
    </w:rPr>
  </w:style>
  <w:style w:type="character" w:customStyle="1" w:styleId="berschrift4Zchn">
    <w:name w:val="Überschrift 4 Zchn"/>
    <w:basedOn w:val="Absatz-Standardschriftart"/>
    <w:link w:val="berschrift4"/>
    <w:uiPriority w:val="9"/>
    <w:locked/>
    <w:rsid w:val="00435EC8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berschrift6Zchn">
    <w:name w:val="Überschrift 6 Zchn"/>
    <w:basedOn w:val="Absatz-Standardschriftart"/>
    <w:link w:val="berschrift6"/>
    <w:uiPriority w:val="99"/>
    <w:semiHidden/>
    <w:locked/>
    <w:rsid w:val="002460A2"/>
    <w:rPr>
      <w:rFonts w:ascii="Cambria" w:hAnsi="Cambria" w:cs="Times New Roman"/>
      <w:i/>
      <w:iCs/>
      <w:color w:val="243F60"/>
      <w:sz w:val="20"/>
      <w:szCs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locked/>
    <w:rsid w:val="00435EC8"/>
    <w:rPr>
      <w:rFonts w:asciiTheme="minorHAnsi" w:eastAsiaTheme="minorEastAsia" w:hAnsiTheme="minorHAnsi" w:cs="Times New Roman"/>
      <w:sz w:val="24"/>
      <w:szCs w:val="24"/>
    </w:rPr>
  </w:style>
  <w:style w:type="paragraph" w:styleId="Kopfzeile">
    <w:name w:val="header"/>
    <w:basedOn w:val="Standard"/>
    <w:link w:val="KopfzeileZchn"/>
    <w:uiPriority w:val="99"/>
    <w:rsid w:val="00E64AE7"/>
    <w:pPr>
      <w:tabs>
        <w:tab w:val="center" w:pos="4320"/>
        <w:tab w:val="right" w:pos="8640"/>
      </w:tabs>
    </w:pPr>
    <w:rPr>
      <w:rFonts w:ascii="Arial" w:hAnsi="Arial"/>
    </w:rPr>
  </w:style>
  <w:style w:type="character" w:customStyle="1" w:styleId="KopfzeileZchn">
    <w:name w:val="Kopfzeile Zchn"/>
    <w:basedOn w:val="Absatz-Standardschriftart"/>
    <w:link w:val="Kopfzeile"/>
    <w:uiPriority w:val="99"/>
    <w:locked/>
    <w:rsid w:val="00E64AE7"/>
    <w:rPr>
      <w:rFonts w:ascii="Arial" w:hAnsi="Arial" w:cs="Times New Roman"/>
      <w:sz w:val="20"/>
      <w:szCs w:val="20"/>
    </w:rPr>
  </w:style>
  <w:style w:type="paragraph" w:styleId="Fuzeile">
    <w:name w:val="footer"/>
    <w:basedOn w:val="Standard"/>
    <w:link w:val="FuzeileZchn"/>
    <w:uiPriority w:val="99"/>
    <w:semiHidden/>
    <w:rsid w:val="00E64AE7"/>
    <w:pPr>
      <w:tabs>
        <w:tab w:val="center" w:pos="4680"/>
        <w:tab w:val="right" w:pos="9360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locked/>
    <w:rsid w:val="00E64AE7"/>
    <w:rPr>
      <w:rFonts w:ascii="Times New Roman" w:hAnsi="Times New Roman" w:cs="Times New Roman"/>
      <w:sz w:val="20"/>
      <w:szCs w:val="20"/>
    </w:rPr>
  </w:style>
  <w:style w:type="paragraph" w:styleId="Textkrper">
    <w:name w:val="Body Text"/>
    <w:basedOn w:val="Standard"/>
    <w:link w:val="TextkrperZchn"/>
    <w:uiPriority w:val="99"/>
    <w:rsid w:val="00E64AE7"/>
    <w:pPr>
      <w:spacing w:after="160"/>
    </w:pPr>
    <w:rPr>
      <w:sz w:val="22"/>
      <w:szCs w:val="22"/>
    </w:rPr>
  </w:style>
  <w:style w:type="character" w:customStyle="1" w:styleId="TextkrperZchn">
    <w:name w:val="Textkörper Zchn"/>
    <w:basedOn w:val="Absatz-Standardschriftart"/>
    <w:link w:val="Textkrper"/>
    <w:uiPriority w:val="99"/>
    <w:locked/>
    <w:rsid w:val="00E64AE7"/>
    <w:rPr>
      <w:rFonts w:ascii="Times New Roman" w:hAnsi="Times New Roman" w:cs="Times New Roman"/>
    </w:rPr>
  </w:style>
  <w:style w:type="paragraph" w:styleId="Listenabsatz">
    <w:name w:val="List Paragraph"/>
    <w:basedOn w:val="Standard"/>
    <w:uiPriority w:val="99"/>
    <w:qFormat/>
    <w:rsid w:val="00150A22"/>
    <w:pPr>
      <w:ind w:left="720"/>
      <w:contextualSpacing/>
    </w:pPr>
  </w:style>
  <w:style w:type="paragraph" w:styleId="Standardeinzug">
    <w:name w:val="Normal Indent"/>
    <w:basedOn w:val="Standard"/>
    <w:uiPriority w:val="99"/>
    <w:rsid w:val="00150A22"/>
    <w:pPr>
      <w:spacing w:before="40" w:after="40"/>
      <w:ind w:left="360"/>
    </w:pPr>
    <w:rPr>
      <w:rFonts w:ascii="Arial" w:hAnsi="Arial"/>
    </w:rPr>
  </w:style>
  <w:style w:type="paragraph" w:styleId="Textkrper-Einzug2">
    <w:name w:val="Body Text Indent 2"/>
    <w:basedOn w:val="Standard"/>
    <w:link w:val="Textkrper-Einzug2Zchn"/>
    <w:uiPriority w:val="99"/>
    <w:rsid w:val="002460A2"/>
    <w:pPr>
      <w:spacing w:after="120" w:line="480" w:lineRule="auto"/>
      <w:ind w:left="360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locked/>
    <w:rsid w:val="002460A2"/>
    <w:rPr>
      <w:rFonts w:ascii="Times New Roman" w:hAnsi="Times New Roman" w:cs="Times New Roman"/>
      <w:sz w:val="20"/>
      <w:szCs w:val="20"/>
    </w:rPr>
  </w:style>
  <w:style w:type="paragraph" w:styleId="Textkrper2">
    <w:name w:val="Body Text 2"/>
    <w:basedOn w:val="Standard"/>
    <w:link w:val="Textkrper2Zchn"/>
    <w:uiPriority w:val="99"/>
    <w:semiHidden/>
    <w:rsid w:val="002460A2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locked/>
    <w:rsid w:val="002460A2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620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740</Words>
  <Characters>4095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Liebert MPH</vt:lpstr>
    </vt:vector>
  </TitlesOfParts>
  <Company>Emerson Network Power - Liebert</Company>
  <LinksUpToDate>false</LinksUpToDate>
  <CharactersWithSpaces>4826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Liebert MPH</dc:title>
  <dc:creator>kalapos6657</dc:creator>
  <cp:lastModifiedBy>Hofbauer, Thomas [NETPWR/KNURR/DE]</cp:lastModifiedBy>
  <cp:revision>2</cp:revision>
  <cp:lastPrinted>2013-11-11T09:02:00Z</cp:lastPrinted>
  <dcterms:created xsi:type="dcterms:W3CDTF">2013-11-20T15:31:00Z</dcterms:created>
  <dcterms:modified xsi:type="dcterms:W3CDTF">2013-11-20T15:31:00Z</dcterms:modified>
</cp:coreProperties>
</file>